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67f9ea010198e42bfa0ce11b6de4d83516eb0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2013 г. по 31 декабря 2013 г. Алявдиновой С.Ф.</w:t>
      </w:r>
    </w:p>
    <w:p>
      <w:pPr>
        <w:pStyle w:val="FirstParagraph"/>
      </w:pPr>
      <w:r>
        <w:t xml:space="preserve">13.05.2014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Сведения об источниках получения средств, за счет которых совершена сделка  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Алявдинова С.Ф.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района Якиманка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Гараж</w:t>
            </w:r>
          </w:p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90,8</w:t>
            </w:r>
          </w:p>
          <w:p>
            <w:pPr>
              <w:jc w:val="left"/>
            </w:pPr>
            <w:r>
              <w:t xml:space="preserve">64,6</w:t>
            </w:r>
          </w:p>
          <w:p>
            <w:pPr>
              <w:jc w:val="left"/>
            </w:pPr>
            <w:r>
              <w:t xml:space="preserve">18,0</w:t>
            </w:r>
          </w:p>
          <w:p>
            <w:pPr>
              <w:jc w:val="left"/>
            </w:pPr>
            <w:r>
              <w:t xml:space="preserve">18,0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1 310 551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2500,0</w:t>
            </w:r>
          </w:p>
          <w:p>
            <w:pPr>
              <w:jc w:val="left"/>
            </w:pPr>
            <w:r>
              <w:t xml:space="preserve">401,3</w:t>
            </w:r>
          </w:p>
          <w:p>
            <w:pPr>
              <w:jc w:val="left"/>
            </w:pPr>
            <w:r>
              <w:t xml:space="preserve">48,0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90,8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</w:t>
            </w:r>
          </w:p>
          <w:p>
            <w:pPr>
              <w:jc w:val="left"/>
            </w:pPr>
            <w:r>
              <w:t xml:space="preserve">Toyota Camry</w:t>
            </w:r>
          </w:p>
          <w:p>
            <w:pPr>
              <w:jc w:val="left"/>
            </w:pPr>
            <w:r>
              <w:t xml:space="preserve">Ford Connect</w:t>
            </w:r>
          </w:p>
        </w:tc>
        <w:tc>
          <w:tcPr/>
          <w:p>
            <w:pPr>
              <w:jc w:val="left"/>
            </w:pPr>
            <w:r>
              <w:t xml:space="preserve">130 000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http://yakimanka.mos.ru/anti-corruption/information-on-income-expenses-about-property-and-obligations-of-property-character/detail/1036298.html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036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036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2025-02-06T14:57:48Z</dcterms:created>
  <dcterms:modified xsi:type="dcterms:W3CDTF">2025-02-06T14:57:48Z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