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4ed1b47298bc99b0d3bd86edfb85e4a00ebc2f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2013 г. по 31 декабря 2013 г. Кудиновой И.М.</w:t>
      </w:r>
    </w:p>
    <w:p>
      <w:pPr>
        <w:pStyle w:val="FirstParagraph"/>
      </w:pPr>
      <w:r>
        <w:t xml:space="preserve">13.05.2014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&lt;1&gt;</w:t>
              </w:r>
            </w:hyperlink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&lt;2&gt;</w:t>
              </w:r>
            </w:hyperlink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Кудинова И.М.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управы района Якиманка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35,5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Ситроен С5</w:t>
            </w:r>
          </w:p>
        </w:tc>
        <w:tc>
          <w:tcPr/>
          <w:p>
            <w:pPr>
              <w:jc w:val="left"/>
            </w:pPr>
            <w:r>
              <w:t xml:space="preserve">845 981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http://yakimanka.mos.ru/anti-corruption/information-on-income-expenses-about-property-and-obligations-of-property-character/detail/1036302.html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ebedevvv/Downloads/%D1%82%D0%B0%D0%B1%D0%BB%D0%B8%D1%86%D0%B0%20%D0%9A%D1%83%D0%B4%D0%B8%D0%BD%D0%BE%D0%B2%D0%B0.docx#Par278" TargetMode="External" /><Relationship Type="http://schemas.openxmlformats.org/officeDocument/2006/relationships/hyperlink" Id="rId21" Target="file:///C:/Users/lebedevvv/Downloads/%D1%82%D0%B0%D0%B1%D0%BB%D0%B8%D1%86%D0%B0%20%D0%9A%D1%83%D0%B4%D0%B8%D0%BD%D0%BE%D0%B2%D0%B0.docx#Par279" TargetMode="External" /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anti-corruption/information-on-income-expenses-about-property-and-obligations-of-property-character/detail/1036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ebedevvv/Downloads/%D1%82%D0%B0%D0%B1%D0%BB%D0%B8%D1%86%D0%B0%20%D0%9A%D1%83%D0%B4%D0%B8%D0%BD%D0%BE%D0%B2%D0%B0.docx#Par278" TargetMode="External" /><Relationship Type="http://schemas.openxmlformats.org/officeDocument/2006/relationships/hyperlink" Id="rId21" Target="file:///C:/Users/lebedevvv/Downloads/%D1%82%D0%B0%D0%B1%D0%BB%D0%B8%D1%86%D0%B0%20%D0%9A%D1%83%D0%B4%D0%B8%D0%BD%D0%BE%D0%B2%D0%B0.docx#Par279" TargetMode="External" /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anti-corruption/information-on-income-expenses-about-property-and-obligations-of-property-character/detail/1036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2023-10-10T22:52:46Z</dcterms:created>
  <dcterms:modified xsi:type="dcterms:W3CDTF">2023-10-10T22:52:46Z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