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8566aed4b2e0e6bf4d2c77bfad5bec6ffcc36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2021 г. по 31 декабря 2021 г.</w:t>
      </w:r>
    </w:p>
    <w:p>
      <w:pPr>
        <w:pStyle w:val="FirstParagraph"/>
      </w:pPr>
      <w:r>
        <w:t xml:space="preserve">23.05.2022</w:t>
      </w:r>
    </w:p>
    <w:p>
      <w:pPr>
        <w:pStyle w:val="BodyText"/>
      </w:pPr>
      <w:r>
        <w:t xml:space="preserve">Сведения о доходах, расходах, об имуществе и обязательствах имущественного характера за период с 1 января 2021 г. по 31 декабря 2021 г. (управа района Якиманка города Москвы)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http://yakimanka.mos.ru/anti-corruption/information-on-income-expenses-about-property-and-obligations-of-property-character/detail/10823056.html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0823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0823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2025-07-04T14:30:38Z</dcterms:created>
  <dcterms:modified xsi:type="dcterms:W3CDTF">2025-07-04T14:30:38Z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