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f11af4bf6b233abcfed6d33e9de08285fd46b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2014 г. по 31 декабря 2014 г. Оботуровой Ю.В.</w:t>
      </w:r>
    </w:p>
    <w:p>
      <w:pPr>
        <w:pStyle w:val="FirstParagraph"/>
      </w:pPr>
      <w:r>
        <w:t xml:space="preserve">06.05.2015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 находящиеся в   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Транспортные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средства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(вид, марка)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Декларированный годовой доход &lt;1&gt; (руб)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Сведения     об источниках получения средств, за счет которых совершена сделка &lt;2&gt; (вид приобретенного имущества, источники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(кв.м.)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 (кв.м.)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Оботурова Ю.В.</w:t>
            </w:r>
          </w:p>
        </w:tc>
        <w:tc>
          <w:tcPr/>
          <w:p>
            <w:pPr>
              <w:jc w:val="left"/>
            </w:pPr>
            <w:r>
              <w:t xml:space="preserve">Ведущий специалист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54,4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695 593,4 9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http://yakimanka.mos.ru/anti-corruption/information-on-income-expenses-about-property-and-obligations-of-property-character/detail/1823491.html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nti-corruption/information-on-income-expenses-about-property-and-obligations-of-property-character/detail/18234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nti-corruption/information-on-income-expenses-about-property-and-obligations-of-property-character/detail/18234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2023-09-22T18:44:08Z</dcterms:created>
  <dcterms:modified xsi:type="dcterms:W3CDTF">2023-09-22T18:44:08Z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