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7fa89ce7916614ff1ba2f9f76d7ab2c5f4aabcf"/>
    <w:p>
      <w:pPr>
        <w:pStyle w:val="Heading3"/>
      </w:pPr>
      <w:r>
        <w:t xml:space="preserve">Тематические информационно-разъяснительные материалы в сфере противодействия коррупции, разработанные Генеральной прокуратурой РФ во взаимодействии с Правительством Москвы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yakimanka.mos.ru/www/bitrix/admin/htmleditor2/video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yakimanka.mos.ru/www/bitrix/admin/htmleditor2/video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http://yakimanka.mos.ru/anti-corruption/methodical-materials/detail/7822212.html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8" Target="http://yakimanka.mos.ru" TargetMode="External" /><Relationship Type="http://schemas.openxmlformats.org/officeDocument/2006/relationships/hyperlink" Id="rId27" Target="http://yakimanka.mos.ru/anti-corruption/methodical-materials/detail/7822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yakimanka.mos.ru" TargetMode="External" /><Relationship Type="http://schemas.openxmlformats.org/officeDocument/2006/relationships/hyperlink" Id="rId27" Target="http://yakimanka.mos.ru/anti-corruption/methodical-materials/detail/7822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2025-08-04T09:49:20Z</dcterms:created>
  <dcterms:modified xsi:type="dcterms:W3CDTF">2025-08-04T09:49:20Z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