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a9bc679f2a7e3e2749bf0a705b6657debd5d"/>
    <w:p>
      <w:pPr>
        <w:pStyle w:val="Heading3"/>
      </w:pPr>
      <w:r>
        <w:t xml:space="preserve">Распоряжение ЯК-01-83/7 О проведении инвентаризации основных средств и финансовых обязательств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2023-09-21T02:06:15Z</dcterms:created>
  <dcterms:modified xsi:type="dcterms:W3CDTF">2023-09-21T02:06:15Z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