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61e480ca551908a349b4267838099e346e78f"/>
    <w:p>
      <w:pPr>
        <w:pStyle w:val="Heading3"/>
      </w:pPr>
      <w:r>
        <w:t xml:space="preserve">Распоряжение ЯК-01-6/9 О внесении изменений в распоряжение управы района Якиманка города Москвы от 06.04.2018 № ЯК-01-24/8</w:t>
      </w:r>
    </w:p>
    <w:p>
      <w:pPr>
        <w:pStyle w:val="FirstParagraph"/>
      </w:pPr>
      <w:r>
        <w:t xml:space="preserve">23.04.2019</w:t>
      </w:r>
    </w:p>
    <w:p>
      <w:pPr>
        <w:pStyle w:val="BodyText"/>
      </w:pPr>
      <w:r>
        <w:t xml:space="preserve">Распоряжение ЯК-01-6/9 О внесении изменений в распоряжение управы района Якиманка города Москвы от 06.04.2018 № ЯК-01-24/8 «О назначении должностных лиц управы района Якиманка, уполномоченных составлять и рассматривать протоколы об административных правонарушениях по статьям 11.13, 11.1, 11.2 КоАП города Москвы»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http://yakimanka.mos.ru/documents/detail/8041469.html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80414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80414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2025-06-07T08:42:33Z</dcterms:created>
  <dcterms:modified xsi:type="dcterms:W3CDTF">2025-06-07T08:42:33Z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