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ab9401bff2e5d991643f1c9a84b746095757a"/>
    <w:p>
      <w:pPr>
        <w:pStyle w:val="Heading3"/>
      </w:pPr>
      <w:r>
        <w:t xml:space="preserve">Распоряжение управы района Якиманка города Москвы от 14.03.2019 № ЯК-01-8/9</w:t>
      </w:r>
    </w:p>
    <w:p>
      <w:pPr>
        <w:pStyle w:val="FirstParagraph"/>
      </w:pPr>
      <w:r>
        <w:t xml:space="preserve">23.04.2019</w:t>
      </w:r>
    </w:p>
    <w:p>
      <w:pPr>
        <w:pStyle w:val="BodyText"/>
      </w:pPr>
      <w:r>
        <w:t xml:space="preserve">Распоряжение управы района Якиманка города Москвы от 14.03.2019 № ЯК-01-8/9 "О совершенствовании системы антитеррористической деятельности в районе Якиманка города Москвы"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http://yakimanka.mos.ru/documents/detail/8041482.html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80414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80414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2025-06-07T08:13:24Z</dcterms:created>
  <dcterms:modified xsi:type="dcterms:W3CDTF">2025-06-07T08:13:24Z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