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3c319b02756b7179bb6fb21a0dacfccc177e6c"/>
    <w:p>
      <w:pPr>
        <w:pStyle w:val="Heading3"/>
      </w:pPr>
      <w:r>
        <w:t xml:space="preserve">Почему электронные общественные обсуждения по градостроительным проектам – это удобно и эффективно?</w:t>
      </w:r>
    </w:p>
    <w:p>
      <w:pPr>
        <w:pStyle w:val="FirstParagraph"/>
      </w:pPr>
      <w:r>
        <w:t xml:space="preserve">16.10.2020</w:t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kimanka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http://yakimanka.mos.ru/electronic-public-discussion/detail/9329689.html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electronic-public-discussion/detail/9329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kimanka.mos.ru" TargetMode="External" /><Relationship Type="http://schemas.openxmlformats.org/officeDocument/2006/relationships/hyperlink" Id="rId23" Target="http://yakimanka.mos.ru/electronic-public-discussion/detail/9329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2023-09-21T00:43:59Z</dcterms:created>
  <dcterms:modified xsi:type="dcterms:W3CDTF">2023-09-21T00:43:59Z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