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a530ee01e83a0f1b511f61aa4f0b43e2fa9d8"/>
    <w:p>
      <w:pPr>
        <w:pStyle w:val="Heading3"/>
      </w:pPr>
      <w:r>
        <w:t xml:space="preserve">Лекция о советском художнике пройдет в Новой Третьяковке</w:t>
      </w:r>
    </w:p>
    <w:p>
      <w:pPr>
        <w:pStyle w:val="FirstParagraph"/>
      </w:pPr>
      <w:r>
        <w:t xml:space="preserve">10.01.2019</w:t>
      </w:r>
    </w:p>
    <w:p>
      <w:pPr>
        <w:pStyle w:val="BodyText"/>
      </w:pPr>
      <w:r>
        <w:t xml:space="preserve">Сотрудники Новой Третьяковки 12 января проведут для жителей района лекцию «Гений русского века».</w:t>
      </w:r>
    </w:p>
    <w:p>
      <w:pPr>
        <w:pStyle w:val="BodyText"/>
      </w:pPr>
      <w:r>
        <w:t xml:space="preserve">На официальном сайте музея рассказали о том, что гости узнают об особенностях творчества признанного классика искусства XX века Аркадии Пластове. При жизни мастер был удостоен звания народного художника Советского Союза. Кроме того, он стал лауреатом Ленинской и Сталинской премий.</w:t>
      </w:r>
    </w:p>
    <w:p>
      <w:pPr>
        <w:pStyle w:val="BodyText"/>
      </w:pPr>
      <w:r>
        <w:t xml:space="preserve">Учебники для советских школьников неоднократно иллюстрировались репродукциями картин Аркадия Пластова.</w:t>
      </w:r>
    </w:p>
    <w:p>
      <w:pPr>
        <w:pStyle w:val="BodyText"/>
      </w:pPr>
      <w:r>
        <w:t xml:space="preserve">Гости смогут обсудить ключевые проблемы русского искусства.</w:t>
      </w:r>
    </w:p>
    <w:p>
      <w:pPr>
        <w:pStyle w:val="BodyText"/>
      </w:pPr>
      <w:r>
        <w:t xml:space="preserve">Начало в 14:00.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http://yakimanka.mos.ru/presscenter/important-information/detail/7810735.html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7810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7810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2025-06-23T07:04:47Z</dcterms:created>
  <dcterms:modified xsi:type="dcterms:W3CDTF">2025-06-23T07:04:47Z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