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3f74115220a5d176ccd643d888ec0e083d02e"/>
    <w:p>
      <w:pPr>
        <w:pStyle w:val="Heading3"/>
      </w:pPr>
      <w:r>
        <w:t xml:space="preserve">Столичный Росреестр: количество ипотечных сделок увеличилось на 19% в годовом выражении</w:t>
      </w:r>
    </w:p>
    <w:p>
      <w:pPr>
        <w:pStyle w:val="FirstParagraph"/>
      </w:pPr>
      <w:r>
        <w:t xml:space="preserve">17.05.2019</w:t>
      </w:r>
    </w:p>
    <w:p>
      <w:pPr>
        <w:pStyle w:val="BodyText"/>
      </w:pPr>
      <w:r>
        <w:t xml:space="preserve">В апреле 2019 года Управлением Росреестра по Москве зарегистрировано 8 560 договоров ипотечного жилищного кредитования, что на 9% выше показателя прошлого месяца (7 838) и на 19% больше, чем в апреле 2018 года (7 202).</w:t>
      </w:r>
    </w:p>
    <w:p>
      <w:pPr>
        <w:pStyle w:val="BodyText"/>
      </w:pPr>
      <w:r>
        <w:t xml:space="preserve">В то же время показатель четырех месяцев текущего года на 24% превышает количество зарегистрированных ипотек в январе-апреле 2018 года – 28 948 против 23 380 соответственно.</w:t>
      </w:r>
    </w:p>
    <w:p>
      <w:pPr>
        <w:pStyle w:val="BodyText"/>
      </w:pPr>
      <w:r>
        <w:t xml:space="preserve">«С начала года мы отмечаем рост ипотечных сделок, что характерно для первых четырех месяцев года на протяжении последних 10 лет. В то же время число ипотек, зарегистрированных в январе-апреле за год увеличилось почти на четверть, а по отношению к аналогичному периоду 2017 года – в 2,3 раза. Понятно, что значительное влияние на ипотечный рынок оказывает сохранение ключевой ставки ЦБ РФ на уровне 7,75%, которая остается неизменной с декабря прошлого года» - отметил руководитель Управления Росреестра по Москве Игорь Майданов.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http://yakimanka.mos.ru/presscenter/important-information/detail/8091102.html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091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091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2024-08-22T21:18:36Z</dcterms:created>
  <dcterms:modified xsi:type="dcterms:W3CDTF">2024-08-22T21:18:36Z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