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ccfc0604ee6de694a2e58e3dba3aca8692168"/>
    <w:p>
      <w:pPr>
        <w:pStyle w:val="Heading3"/>
      </w:pPr>
      <w:r>
        <w:t xml:space="preserve">Кадастровая палата по Москве провела консультационные семинары для сотрудников Московского фонда реновации жилой застройки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В период с 13 по 14 мая 2019 года Кадастровая палата</w:t>
      </w:r>
      <w:r>
        <w:br/>
      </w:r>
      <w:r>
        <w:t xml:space="preserve">по Москве провела серию консультационных семинаров для сотрудников Московского фонда реновации жилой застройки, направленных на повышение знаний, навыков и компетенции заказчиков кадастровых работ.</w:t>
      </w:r>
    </w:p>
    <w:p>
      <w:pPr>
        <w:pStyle w:val="BodyText"/>
      </w:pPr>
      <w:r>
        <w:t xml:space="preserve">Начальник юридического отдела Екатерина Филиппова совместно с заместителем начальника отдела обработки документов и обеспечения учетных действий Андреем Хлюстовым провели обучающие семинары на темы: «Основные положения Федерального закона от 13.07.2015 №218-ФЗ</w:t>
      </w:r>
      <w:r>
        <w:br/>
      </w:r>
      <w:r>
        <w:t xml:space="preserve">«О государственной регистрации недвижимости», регламентирующие порядок подачи и состав документов, необходимых для государственного кадастрового учета и (или) регистрации прав. Сроки рассмотрения документов, порядок получения решений о проведении (приостановлении/отказе) учетно-регистрационных действий, порядок обжалования решений органа регистрации прав» и «Подготовка документов, необходимых для осуществления государственного кадастрового учета объектов капитального строительства. Основные положения приказа Минэкономразвития России от 18.12.2015 № 953 «Об утверждении формы технического плана и требований к его подготовке, состава содержащихся в нем сведений, а также формы декларации об объекте недвижимости, требований к ее подготовке, состава содержащихся в ней сведений» (далее – Приказ).</w:t>
      </w:r>
    </w:p>
    <w:p>
      <w:pPr>
        <w:pStyle w:val="BodyText"/>
      </w:pPr>
      <w:r>
        <w:t xml:space="preserve">В ходе семинаров рассмотрены изменения Федерального закона</w:t>
      </w:r>
      <w:r>
        <w:br/>
      </w:r>
      <w:r>
        <w:t xml:space="preserve">от 13.07.2015 № 218-ФЗ «О государственной регистрации недвижимости»</w:t>
      </w:r>
      <w:r>
        <w:br/>
      </w:r>
      <w:r>
        <w:t xml:space="preserve">в части осуществления государственной регистрации прав на недвижимое имущество и сделок с ним. Разобраны основания и сроки приостановления осуществления государственного кадастрового учета и (или) государственной регистрации прав. Сотрудники учреждения разъяснили порядок обжалования решений органов регистрации прав о приостановлении или отказе в государственной регистрации и кадастровом учете объектов.</w:t>
      </w:r>
    </w:p>
    <w:p>
      <w:pPr>
        <w:pStyle w:val="BodyText"/>
      </w:pPr>
      <w:r>
        <w:t xml:space="preserve">Кроме того, представителями Кадастровой палаты по Москве детально рассмотрены основные положения Приказа. В частности, разобраны особенности подготовки технического плана объекта недвижимости, а также типовые ошибки, допускаемые кадастровыми инженерами при подготовке технических планов.</w:t>
      </w:r>
    </w:p>
    <w:p>
      <w:pPr>
        <w:pStyle w:val="BodyText"/>
      </w:pPr>
      <w:r>
        <w:t xml:space="preserve">В завершении семинаров в режиме «вопрос-ответ» обсуждались конкретные вопросы, возникающие у сотрудников Московского фонда реновации жилой застройки. В частности, порядок определения кадастровой стоимости объектов недвижимости, особенности проведения государственной кадастровой оценки на территории города Москвы и многие другие. Специалистами Кадастровой палаты по Москве на все поступившие вопросы даны полные и исчерпывающие ответы.</w:t>
      </w:r>
    </w:p>
    <w:p>
      <w:pPr>
        <w:pStyle w:val="BodyText"/>
      </w:pPr>
      <w:r>
        <w:t xml:space="preserve">По результатам семинаров сотрудники Московского фонда реновации жилой застройки получили специальные знания, которые в дальнейшем будут использованы при осуществлении их профессиональной деятельности. Участники мероприятия отметили высокий уровень организации мероприятий, профессиональный подход к делу, а также насыщенную и интересную информацию, полученную в ходе семинаров.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http://yakimanka.mos.ru/presscenter/important-information/detail/8104030.html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4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104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2025-06-23T08:09:48Z</dcterms:created>
  <dcterms:modified xsi:type="dcterms:W3CDTF">2025-06-23T08:09:48Z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