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00ebc004bce6aa7f5c3109a0652beb336a39ff"/>
    <w:p>
      <w:pPr>
        <w:pStyle w:val="Heading3"/>
      </w:pPr>
      <w:r>
        <w:t xml:space="preserve">Бизнес креативных индустрий поддерживают власти Москвы</w:t>
      </w:r>
    </w:p>
    <w:p>
      <w:pPr>
        <w:pStyle w:val="FirstParagraph"/>
      </w:pPr>
      <w:r>
        <w:t xml:space="preserve">10.09.2021</w:t>
      </w:r>
    </w:p>
    <w:p>
      <w:pPr>
        <w:pStyle w:val="BodyText"/>
      </w:pPr>
      <w:r>
        <w:t xml:space="preserve">В Москве продолжают развивать креативную индустрию. В прошлом году открыли центр поддержки творческого бизнеса «Агентство креативных индустрий».</w:t>
      </w:r>
    </w:p>
    <w:p>
      <w:pPr>
        <w:pStyle w:val="BodyText"/>
      </w:pPr>
      <w:r>
        <w:t xml:space="preserve">В тот же 2020 год центр дизайна Artplay получил статус креативного технопарка первым в городе. Внутри учреждения можно найти компании по таким направлениям, как архитектура, дизайн и искусство.</w:t>
      </w:r>
    </w:p>
    <w:p>
      <w:pPr>
        <w:pStyle w:val="BodyText"/>
      </w:pPr>
      <w:r>
        <w:t xml:space="preserve">Стоит отметить, что в августе 2021 года на территории центра современного искусства «Винзавод» открыли первый центр услуг для бизнеса.</w:t>
      </w:r>
    </w:p>
    <w:p>
      <w:pPr>
        <w:pStyle w:val="BodyText"/>
      </w:pPr>
      <w:r>
        <w:t xml:space="preserve">Напомним, что к креативным индустриям относят архитектуру, проектирование и дизайн, издательскую деятельность, полиграфию, работу в медиапространстве, кино, теле- и радиовещание, ИТ-сферу и разработку программного обеспечения и другое.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http://yakimanka.mos.ru/presscenter/news/detail/10244366.html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presscenter/news/detail/102443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presscenter/news/detail/102443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2025-08-06T02:06:56Z</dcterms:created>
  <dcterms:modified xsi:type="dcterms:W3CDTF">2025-08-06T02:06:56Z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