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c6fc2758a8961b67a99299fb0509a3b7c67cf"/>
    <w:p>
      <w:pPr>
        <w:pStyle w:val="Heading3"/>
      </w:pPr>
      <w:r>
        <w:t xml:space="preserve">Генеральную уборку города ведут тысячи работников столичного ЖКХ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Генеральную уборку города после зимнего периода ведут тысячи работников столичного Жилищно-коммунального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месячника благоустройства рабочие города отмоют фасады столичных домов, промоют с шампунем дороги, очистят памятники от загрязнения, отремонтируют детские и спортивные площадки и проведут другие мероприятия по уборке.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на данный момент в столице завершили масштабные работы по подготовке к открытию сезона столичных фонтанов. На данный момент в городе более 600 фонтанов, среди которых есть традиционные, «сухие», плавающие, музыкальные и светодинамические.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Главная задача месячника по уборке и благоустройству — за короткий срок привести в порядок после зимы все без исключения городские объекты.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http://yakimanka.mos.ru/presscenter/news/detail/9894578.html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9894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9894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2025-07-27T16:20:04Z</dcterms:created>
  <dcterms:modified xsi:type="dcterms:W3CDTF">2025-07-27T16:20:04Z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